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西安区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lang w:eastAsia="zh-CN"/>
        </w:rPr>
        <w:t>教育体育局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法制审核目录清单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/>
        <w:jc w:val="center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重大行政执法决定，是指在开展行政许可、行政处罚、行政确认、行政给付等各类行政执法时，对情况复杂、涉案金额较大或者对行政相对人有重大影响的案件作出的处理决定。主要包括以下几个方面：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（一）暂扣或吊销许可证，责令停产停业，处以较大数额罚款和没收（“较大数额”罚款和没收，对公民是指人民币或者等值物品价值5000元以上、对法人或者其他组织是指人民币或者等值物品价值50000元以上）的行政处罚决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（二）法律适用有疑义的行政许可案件；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（三）行政强制执行案件；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（四）其他应当经过法制审核的行政执法案件和事项。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2020-08-28T02:22:42Z</dcterms:created>
  <dc:creator>Administrator</dc:creator>
  <cp:lastModifiedBy>风吹雪</cp:lastModifiedBy>
  <dcterms:modified xsi:type="dcterms:W3CDTF">2020-08-28T02:24:01Z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